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Göteborg kommunfullmäktige</w:t>
      </w:r>
    </w:p>
    <w:p>
      <w:pPr>
        <w:pStyle w:val="Heading1"/>
      </w:pPr>
      <w:r>
        <w:t xml:space="preserve">Fler hyresrätter i alla stadsdelar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Göteborg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Göteborg har en akut bostadsbrist. Endast 1 800 nya hyresrätter färdigställdes 2024 enligt Göteborgs stad. Köerna till hyresrätt är över 10 år i centrala områden. Bristen drabbar unga och nyanlända hårdast och förstärker segregationen mellan stadsdelar.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Göteborg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Stadsbyggnadsnämnden i uppdrag att ta fram en plan för minst 3 000 nya hyresrätter per år fram till 2030 med särskilt fokus på nordöstra Göteborg.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minst 70 procent av nya bostäder på kommunal mark ska vara hyresrätter med rimlig hyra.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ger Fastighetskontoret i uppdrag att kartlägga outnyttjad mark för bostadsbyggande i Angered, Bergsjön och Hisings Backa.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en årlig redovisning till kommunstyrelsen om hur många hyresrätter som påbörjats och färdigställts.</w:t>
      </w:r>
    </w:p>
    <w:p>
      <w:pPr>
        <w:spacing w:before="360"/>
      </w:pPr>
    </w:p>
    <w:p>
      <w:r>
        <w:t xml:space="preserve">Göteborg,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Göteborg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2026-07-14T00:04:17.882Z</dcterms:created>
  <dcterms:modified xsi:type="dcterms:W3CDTF">2026-07-14T00:04:17.882Z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